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3D6007" w:rsidRPr="003D6007">
        <w:rPr>
          <w:rFonts w:ascii="Georgia" w:eastAsia="Georgia" w:hAnsi="Georgia" w:cs="Georgia"/>
          <w:b/>
          <w:sz w:val="20"/>
          <w:szCs w:val="20"/>
        </w:rPr>
        <w:t xml:space="preserve">SSO Andrzej </w:t>
      </w:r>
      <w:proofErr w:type="spellStart"/>
      <w:r w:rsidR="003D6007" w:rsidRPr="003D6007">
        <w:rPr>
          <w:rFonts w:ascii="Georgia" w:eastAsia="Georgia" w:hAnsi="Georgia" w:cs="Georgia"/>
          <w:b/>
          <w:sz w:val="20"/>
          <w:szCs w:val="20"/>
        </w:rPr>
        <w:t>Grygierzec</w:t>
      </w:r>
      <w:proofErr w:type="spellEnd"/>
      <w:r w:rsidR="003D6007" w:rsidRPr="003D6007">
        <w:rPr>
          <w:rFonts w:ascii="Georgia" w:eastAsia="Georgia" w:hAnsi="Georgia" w:cs="Georgia"/>
          <w:b/>
          <w:sz w:val="20"/>
          <w:szCs w:val="20"/>
        </w:rPr>
        <w:t xml:space="preserve">  </w:t>
      </w:r>
    </w:p>
    <w:p w:rsidR="00CA0801" w:rsidRDefault="00117392">
      <w:r>
        <w:rPr>
          <w:rFonts w:ascii="Georgia" w:eastAsia="Georgia" w:hAnsi="Georgia" w:cs="Georgia"/>
          <w:b/>
          <w:sz w:val="20"/>
          <w:szCs w:val="20"/>
          <w:highlight w:val="white"/>
        </w:rPr>
        <w:t xml:space="preserve">Sąd Okręgowy w </w:t>
      </w:r>
      <w:r w:rsidR="003D6007">
        <w:rPr>
          <w:rFonts w:ascii="Georgia" w:eastAsia="Georgia" w:hAnsi="Georgia" w:cs="Georgia"/>
          <w:b/>
          <w:sz w:val="20"/>
          <w:szCs w:val="20"/>
        </w:rPr>
        <w:t>Bielsku-Białej</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3D6007" w:rsidRPr="003D6007">
        <w:rPr>
          <w:rFonts w:ascii="Georgia" w:eastAsia="Georgia" w:hAnsi="Georgia" w:cs="Georgia"/>
          <w:b/>
          <w:sz w:val="20"/>
          <w:szCs w:val="20"/>
          <w:highlight w:val="white"/>
        </w:rPr>
        <w:t>prezes@bielsko-biala.so.gov.pl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3D6007">
        <w:rPr>
          <w:rFonts w:ascii="Georgia" w:eastAsia="Georgia" w:hAnsi="Georgia" w:cs="Georgia"/>
          <w:b/>
          <w:sz w:val="20"/>
          <w:szCs w:val="20"/>
          <w:highlight w:val="white"/>
        </w:rPr>
        <w:t>Bielsku-Białej</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w:t>
      </w:r>
      <w:r w:rsidR="003D6007">
        <w:rPr>
          <w:rFonts w:ascii="Georgia" w:eastAsia="Georgia" w:hAnsi="Georgia" w:cs="Georgia"/>
          <w:sz w:val="20"/>
          <w:szCs w:val="20"/>
          <w:highlight w:val="white"/>
        </w:rPr>
        <w:t>e Prezesie</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D13FDB" w:rsidRPr="00D13FDB">
        <w:rPr>
          <w:rFonts w:ascii="Georgia" w:eastAsia="Georgia" w:hAnsi="Georgia" w:cs="Georgia"/>
          <w:sz w:val="20"/>
          <w:szCs w:val="20"/>
          <w:highlight w:val="white"/>
        </w:rPr>
        <w:t>Bielsku-Białej</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D13FDB">
        <w:rPr>
          <w:rFonts w:ascii="Georgia" w:eastAsia="Georgia" w:hAnsi="Georgia" w:cs="Georgia"/>
          <w:sz w:val="20"/>
          <w:szCs w:val="20"/>
        </w:rPr>
        <w:t>Bielsku-Białej</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4F" w:rsidRDefault="0008684F">
      <w:pPr>
        <w:spacing w:line="240" w:lineRule="auto"/>
      </w:pPr>
      <w:r>
        <w:separator/>
      </w:r>
    </w:p>
  </w:endnote>
  <w:endnote w:type="continuationSeparator" w:id="0">
    <w:p w:rsidR="0008684F" w:rsidRDefault="00086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08684F">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D13FD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4F" w:rsidRDefault="0008684F">
      <w:pPr>
        <w:spacing w:line="240" w:lineRule="auto"/>
      </w:pPr>
      <w:r>
        <w:separator/>
      </w:r>
    </w:p>
  </w:footnote>
  <w:footnote w:type="continuationSeparator" w:id="0">
    <w:p w:rsidR="0008684F" w:rsidRDefault="000868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08684F">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8684F"/>
    <w:rsid w:val="00117392"/>
    <w:rsid w:val="001817E9"/>
    <w:rsid w:val="003D6007"/>
    <w:rsid w:val="005336E3"/>
    <w:rsid w:val="00933E0E"/>
    <w:rsid w:val="00CA0801"/>
    <w:rsid w:val="00D13FDB"/>
    <w:rsid w:val="00F12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2000</Words>
  <Characters>12000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2017-01-13T23:26:00Z</dcterms:created>
  <dcterms:modified xsi:type="dcterms:W3CDTF">2017-01-13T23:28:00Z</dcterms:modified>
</cp:coreProperties>
</file>