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ind w:left="4240" w:firstLine="0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Pan Marek Niechciał</w:t>
      </w:r>
    </w:p>
    <w:p w:rsidR="00000000" w:rsidDel="00000000" w:rsidP="00000000" w:rsidRDefault="00000000" w:rsidRPr="00000000">
      <w:pPr>
        <w:pBdr/>
        <w:ind w:left="4240" w:firstLine="0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Prezes Urzędu Ochrony Konkurencji i Konsumentów</w:t>
      </w:r>
    </w:p>
    <w:p w:rsidR="00000000" w:rsidDel="00000000" w:rsidP="00000000" w:rsidRDefault="00000000" w:rsidRPr="00000000">
      <w:pPr>
        <w:pBdr/>
        <w:ind w:left="4240" w:firstLine="0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email: uokik@uokik.gov.pl oraz </w:t>
      </w:r>
      <w:hyperlink r:id="rId5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ddk@uokik.gov.pl</w:t>
        </w:r>
      </w:hyperlink>
      <w:r w:rsidDel="00000000" w:rsidR="00000000" w:rsidRPr="00000000">
        <w:rPr>
          <w:b w:val="1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>
      <w:pPr>
        <w:pBdr/>
        <w:ind w:left="4240" w:firstLine="0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Do wiadomości otrzymują: KPRM oraz NIK</w:t>
      </w:r>
    </w:p>
    <w:p w:rsidR="00000000" w:rsidDel="00000000" w:rsidP="00000000" w:rsidRDefault="00000000" w:rsidRPr="00000000">
      <w:pPr>
        <w:pBdr/>
        <w:ind w:left="4240" w:firstLine="0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email do wiadomości: </w:t>
      </w:r>
      <w:r w:rsidDel="00000000" w:rsidR="00000000" w:rsidRPr="00000000">
        <w:rPr>
          <w:b w:val="1"/>
          <w:sz w:val="21"/>
          <w:szCs w:val="21"/>
          <w:rtl w:val="0"/>
        </w:rPr>
        <w:t xml:space="preserve">sprm@kprm.gov.pl</w:t>
      </w:r>
      <w:r w:rsidDel="00000000" w:rsidR="00000000" w:rsidRPr="00000000">
        <w:rPr>
          <w:b w:val="1"/>
          <w:sz w:val="21"/>
          <w:szCs w:val="21"/>
          <w:rtl w:val="0"/>
        </w:rPr>
        <w:t xml:space="preserve"> oraz nik@nik.gov.pl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Wniosek o udostępnienie informacji publicznej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Szanowny Panie Prezesie.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Niniejszym wnoszę o przedstawienie przez Pana Urząd informacji oraz wyjaśnień zgodnie z poniższym:</w:t>
      </w:r>
    </w:p>
    <w:p w:rsidR="00000000" w:rsidDel="00000000" w:rsidP="00000000" w:rsidRDefault="00000000" w:rsidRPr="00000000">
      <w:pPr>
        <w:pBdr/>
        <w:ind w:firstLine="720"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1440" w:hanging="360"/>
        <w:contextualSpacing w:val="1"/>
        <w:rPr>
          <w:rFonts w:ascii="Trebuchet MS" w:cs="Trebuchet MS" w:eastAsia="Trebuchet MS" w:hAnsi="Trebuchet MS"/>
          <w:highlight w:val="white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Czy Urząd Ochrony Konkurencji i Konsumentów, w związku z art. 24 ustawy o ochronie konkurencji i konsumentów, dysponuje kompetencjami do ustalania, czy określona praktyka stosowana przez przedsiębiorcę wobec konsumentów jest sprzeczna z obowiązującym prawem?</w:t>
        <w:br w:type="textWrapping"/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1440" w:hanging="360"/>
        <w:contextualSpacing w:val="1"/>
        <w:rPr>
          <w:rFonts w:ascii="Trebuchet MS" w:cs="Trebuchet MS" w:eastAsia="Trebuchet MS" w:hAnsi="Trebuchet MS"/>
          <w:highlight w:val="white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Czy Urząd Ochrony Konkurencji i Konsumentów, w związku z art. 24 ustawy o ochronie konkurencji i konsumentów, dysponuje kompetencjami do ustalania, czy określona praktyka stosowana przez przedsiębiorcę wobec konsumentów jest sprzeczna z dobrymi obyczajami? Nie mylić z praktyką abuzywną (niedozwoloną w myśl art. 385-1 kodeksu cywilnego), albowiem to sprzeczność z dobrymi obyczajami jest warunkiem koniecznym (jednym z warunków) do uznania danej klauzuli umownej za abuzywną, a nie odwrotnie.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1440" w:hanging="360"/>
        <w:contextualSpacing w:val="1"/>
        <w:rPr>
          <w:rFonts w:ascii="Trebuchet MS" w:cs="Trebuchet MS" w:eastAsia="Trebuchet MS" w:hAnsi="Trebuchet MS"/>
          <w:highlight w:val="white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Czy wykonywanie przez banki umów o kredyt indeksowany/waloryzowany w taki sposób, że bank wyraża aktualne saldo do spłaty oraz aktualną wysokość każdej kolejnej raty kredytu w walucie indeksacji/waloryzacji (najczęściej CHF) jest sprzeczne z dobrymi obyczajami, o ile wypłata kredytu odbyła się </w:t>
      </w:r>
      <w:r w:rsidDel="00000000" w:rsidR="00000000" w:rsidRPr="00000000">
        <w:rPr>
          <w:rFonts w:ascii="Trebuchet MS" w:cs="Trebuchet MS" w:eastAsia="Trebuchet MS" w:hAnsi="Trebuchet MS"/>
          <w:b w:val="1"/>
          <w:highlight w:val="white"/>
          <w:rtl w:val="0"/>
        </w:rPr>
        <w:t xml:space="preserve">w sposób sprzeczny z dobrymi obyczajami 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z wykorzystaniem klauzuli umownej o treści werbalnie analogicznej, a jurydycznie tożsamej z treścią klauzuli nr 3178 z Rejestru UOKiK, lub - w przypadku Banku Millenium - na podstawie klauzuli nr 3178, w sytuacji, gdy zasady ustalania kursów walut w tabeli kursowej banku NIE BYŁY znane kredytobiorcy ani w chwili zawierania umowy o kredyt, ani w chwili wypłaty kredytu?</w:t>
        <w:br w:type="textWrapping"/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1440" w:hanging="360"/>
        <w:contextualSpacing w:val="1"/>
        <w:rPr>
          <w:rFonts w:ascii="Trebuchet MS" w:cs="Trebuchet MS" w:eastAsia="Trebuchet MS" w:hAnsi="Trebuchet MS"/>
          <w:highlight w:val="white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Czy wysokość raty kredytu waloryzowanego/indeksowanego wyrażana przez bank w walucie indeksacji/waloryzacji (najczęściej CHF) jest sprzeczna z dobrymi obyczajami, jeśli bank ustala wysokość raty kredytu bazując na wysokości kapitału pozostałego do spłaty, który z kolei został pierwotnie ustalony w dniu wypłaty kredytu </w:t>
      </w:r>
      <w:r w:rsidDel="00000000" w:rsidR="00000000" w:rsidRPr="00000000">
        <w:rPr>
          <w:rFonts w:ascii="Trebuchet MS" w:cs="Trebuchet MS" w:eastAsia="Trebuchet MS" w:hAnsi="Trebuchet MS"/>
          <w:b w:val="1"/>
          <w:highlight w:val="white"/>
          <w:rtl w:val="0"/>
        </w:rPr>
        <w:t xml:space="preserve">w sposób sprzeczny z dobrymi obyczajami 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za pomocą klauzuli 3178 z Rejestru UOKiK (Bank Millenium) lub za pomocą klauzuli o treści werbalnie analogicznej, a jurydycznie tożsamej z treścią klauzuli 3178 z Rejestru UOKiK (inne banki, które udzieliły i obecnie wykonują umowy o kredyt indeksowany/waloryzowany czyli Getin Noble Bank, mBank, Raiffeisen Polbank, Eurobank, BPH itp.)?</w:t>
        <w:br w:type="textWrapping"/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1440" w:hanging="360"/>
        <w:contextualSpacing w:val="1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Czy wykonywanie przez banki umów o kredyt denominowany/indeksowany/waloryzowany jest sprzeczne z prawem (z art. 69 ust. 1 ustawy prawo bankowe) jeśli zgodnie z umową o kredyt, kredytobiorca ponosi dodatkowy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highlight w:val="white"/>
          <w:rtl w:val="0"/>
        </w:rPr>
        <w:t xml:space="preserve">i w każdym momencie policzalny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 koszt kredytu wynikający wyłącznie z narzuconego mu w umowie spreadu walutowego wg tabeli kursowej banku, </w:t>
      </w:r>
      <w:r w:rsidDel="00000000" w:rsidR="00000000" w:rsidRPr="00000000">
        <w:rPr>
          <w:rFonts w:ascii="Trebuchet MS" w:cs="Trebuchet MS" w:eastAsia="Trebuchet MS" w:hAnsi="Trebuchet MS"/>
          <w:b w:val="1"/>
          <w:highlight w:val="white"/>
          <w:rtl w:val="0"/>
        </w:rPr>
        <w:t xml:space="preserve">niezależnie od tego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, czy kursy walut w swojej tabeli kursowej bank ustalał w sposób sprzeczny z dobrymi obyczajami (nieznane kredytobiorcy w dniu zawierania umowy zasady ustalania kursów walut w tabeli przez bank) lub w sposób niesprzeczny z dobrymi obyczajami (gdy kredytobiorcy znane były od dnia zawarcia umowy o kredyt zasady ustalania kursów przez bank w tabeli kursowej banku)?</w:t>
        <w:br w:type="textWrapping"/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Jeśli odpowiedź na wszystkie powyższe pytania jest twierdząca, to n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a podstawie art. 2 ust. 1 ustawy z dnia 6 września 2001 r. o dostępie do informacji publicznej [Dz. U. Nr 112 poz. 1198, z późn. zm.] zwracam się do Prezesa UOKiK z wnioskiem o udostępnienie mi informacji w następującym zakresie:  nazwy banków oraz sygnatury postępowań prowadzonych obecnie przez UOKiK (lub prowadzonych w przeszłości i już zakończonych) wobec banków podejrzewanych o naruszanie zbiorowych interesów konsumentów poprzez wykonywanie umów o kredyty indeksowane/waloryzowane/denominowane w sposób sprzeczny z dobrymi obyczajami oraz/lub w sposób sprzeczny z art. 69 ust. 1 ustawy prawo bankowe.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Jeśli odpowiedź na wszystkie powyższe pytania jest twierdząca, ale UOKiK nie prowadzi obecnie lub nie prowadził dotychczas żadnych postępowań wobec banków wykonujących obecnie umowy o kredyty indeksowane/waloryzowane/denominowane w sposób sprzeczny z dobrymi obyczajami oraz/ub w sposób sprzeczny z art. 69 ust. 1 ustawy prawo bankowe, to wnoszę o przedstawienie przez Prezesa UOKiK wyjaśnień, z jakich przyczyn UOKiK nie prowadzi (ani nie prowadził) takich postępowań, skoro wykonywanie przez banki umów o kredyty denominowane/indeksowane/waloryzowane jest sprzeczne z prawem oraz jest sprzeczne z dobrymi obyczajami.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Jeśli odpowiedź na powyższe pytania od nr 3 do nr 5 jest negatywna, to wnoszę o przedstawienie przez Prezesa UOKiK wyjaśnień uzasadniających przyczyny, dla których w ocenie Prezesa UOKiK wykonywanie przez Banki umów o kredyty indeksowane/waloryzowane/denominowane nie może być - jak rozumiem - uznane ani za sprzeczne z dobrymi obyczajami ani za sprzeczne z art. 69 ust. 1 ustawy prawo bankowe, pomimo że: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rebuchet MS" w:cs="Trebuchet MS" w:eastAsia="Trebuchet MS" w:hAnsi="Trebuchet MS"/>
          <w:highlight w:val="white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banki (np. mBank, Getin Noble Bank, Bank Millenium, Raiffeisen Polbank, Eurobank, BPH) wykonują te umowy na bazie kapitału do spłaty wyrażonego w walucie indeksacji/waloryzacji (najczęściej CHF) i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highlight w:val="white"/>
          <w:rtl w:val="0"/>
        </w:rPr>
        <w:t xml:space="preserve">ustalonego w sposób sprzeczny z dobrymi obyczajami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, czyli na podstawie </w:t>
      </w:r>
      <w:r w:rsidDel="00000000" w:rsidR="00000000" w:rsidRPr="00000000">
        <w:rPr>
          <w:rFonts w:ascii="Trebuchet MS" w:cs="Trebuchet MS" w:eastAsia="Trebuchet MS" w:hAnsi="Trebuchet MS"/>
          <w:b w:val="1"/>
          <w:highlight w:val="white"/>
          <w:rtl w:val="0"/>
        </w:rPr>
        <w:t xml:space="preserve">sprzecznej z dobrymi obyczajami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 klauzuli 3178 (Bank Millenium) lub na podstawie klauzuli o treści werbalnie analogicznej, a jurydycznie tożsamej z klauzulą 3178 z Rejestru UOKiK (inne banki, które udzieliły i obecnie wykonują umowy o kredyt indeksowany/waloryzowany czyli Getin Noble Bank, mBank, Raiffeisen Polbank, Eurobank, BPH itp.)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rebuchet MS" w:cs="Trebuchet MS" w:eastAsia="Trebuchet MS" w:hAnsi="Trebuchet MS"/>
          <w:highlight w:val="white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wykonywanie umów o kredyty denominowane/waloryzowane/indeksowane w oparciu o tabele kursowe banku powoduje po stronie kredytobiorcy powstanie dodatkowego (</w:t>
      </w:r>
      <w:r w:rsidDel="00000000" w:rsidR="00000000" w:rsidRPr="00000000">
        <w:rPr>
          <w:rFonts w:ascii="Trebuchet MS" w:cs="Trebuchet MS" w:eastAsia="Trebuchet MS" w:hAnsi="Trebuchet MS"/>
          <w:b w:val="1"/>
          <w:highlight w:val="white"/>
          <w:rtl w:val="0"/>
        </w:rPr>
        <w:t xml:space="preserve">i w każdym momencie wykonywania umowy matematycznie policzalnego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) kosztu kredytu wynikającego wyłącznie z faktu istnienia spreadu walutowego w tabeli kursowej banku.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Odpowiedź na niniejsze wystąpienie proszę przesłać na mój adres zamieszkania: ………………….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Z poważaniem,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…………………….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[imię, nazwisko, adres zamieszkania]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ddk@uokik.gov.pl" TargetMode="External"/><Relationship Id="rId6" Type="http://schemas.openxmlformats.org/officeDocument/2006/relationships/footer" Target="footer1.xml"/></Relationships>
</file>